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C189" w14:textId="77777777" w:rsidR="00EB5843" w:rsidRPr="00517D94" w:rsidRDefault="00EB5843" w:rsidP="00EB5843">
      <w:pPr>
        <w:spacing w:after="60" w:line="240" w:lineRule="auto"/>
        <w:ind w:right="-424"/>
        <w:rPr>
          <w:noProof/>
          <w:color w:val="262626" w:themeColor="text1" w:themeTint="D9"/>
          <w:sz w:val="2"/>
          <w:lang w:val="pt-BR"/>
        </w:rPr>
      </w:pPr>
      <w:r w:rsidRPr="00517D94">
        <w:rPr>
          <w:b/>
          <w:noProof/>
          <w:color w:val="1F3864" w:themeColor="accent1" w:themeShade="80"/>
          <w:sz w:val="28"/>
          <w:szCs w:val="28"/>
          <w:lang w:val="pt-BR"/>
        </w:rPr>
        <w:drawing>
          <wp:inline distT="0" distB="0" distL="0" distR="0" wp14:anchorId="1951E20F" wp14:editId="755A0C3F">
            <wp:extent cx="6435090" cy="1100360"/>
            <wp:effectExtent l="0" t="0" r="3810" b="5080"/>
            <wp:docPr id="2" name="Picture 2" descr="C:\Users\alaa.abboud\Desktop\Oksana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a.abboud\Desktop\Oksana\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991" cy="12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15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103"/>
        <w:gridCol w:w="30"/>
        <w:gridCol w:w="4382"/>
      </w:tblGrid>
      <w:tr w:rsidR="00EB5843" w:rsidRPr="00517D94" w14:paraId="0E416F78" w14:textId="77777777" w:rsidTr="00D5633E">
        <w:trPr>
          <w:cantSplit/>
          <w:trHeight w:hRule="exact" w:val="7003"/>
          <w:jc w:val="center"/>
        </w:trPr>
        <w:tc>
          <w:tcPr>
            <w:tcW w:w="7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14:paraId="2A34AFDE" w14:textId="27D68868" w:rsidR="00EB5843" w:rsidRPr="00517D94" w:rsidRDefault="00EB5843" w:rsidP="00EB584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Fo6S0"/>
                <w:b/>
                <w:color w:val="C00000"/>
                <w:sz w:val="40"/>
                <w:szCs w:val="40"/>
                <w:lang w:val="pt-BR"/>
              </w:rPr>
            </w:pPr>
            <w:r w:rsidRPr="00517D94">
              <w:rPr>
                <w:noProof/>
                <w:color w:val="262626" w:themeColor="text1" w:themeTint="D9"/>
                <w:sz w:val="1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94D2F0" wp14:editId="49283DC5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31750</wp:posOffset>
                      </wp:positionV>
                      <wp:extent cx="4585335" cy="2667000"/>
                      <wp:effectExtent l="0" t="0" r="5715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5335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01EE76" w14:textId="7FE46FA7" w:rsidR="00EB5843" w:rsidRPr="008342D8" w:rsidRDefault="008342D8" w:rsidP="00EB584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 w:rsidRPr="008342D8"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 xml:space="preserve">A Recomendação 204 (2015) sobre a Transição da </w:t>
                                  </w:r>
                                  <w:r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e</w:t>
                                  </w:r>
                                  <w:r w:rsidRPr="008342D8"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 xml:space="preserve">conomia </w:t>
                                  </w:r>
                                  <w:r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i</w:t>
                                  </w:r>
                                  <w:r w:rsidRPr="008342D8"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 xml:space="preserve">nformal para a </w:t>
                                  </w:r>
                                  <w:r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f</w:t>
                                  </w:r>
                                  <w:r w:rsidRPr="008342D8">
                                    <w:rPr>
                                      <w:rFonts w:cs="Fo6S0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ormal</w:t>
                                  </w:r>
                                </w:p>
                                <w:p w14:paraId="1225F15F" w14:textId="38A15040" w:rsidR="00EB5843" w:rsidRPr="008342D8" w:rsidRDefault="008342D8" w:rsidP="00EB584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="Fo6S0"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  <w:r w:rsidRPr="008342D8">
                                    <w:rPr>
                                      <w:rFonts w:cs="Fo6S0"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A maioria dos trabalhadores em todo o mundo atua na economia informal, e a maioria dos novos empregos são empregos informais. Não existe uma maneira única e ágil de formalizar o emprego informal. Portanto, trata-se de um processo que deve ser entendido como um gradual e contínuo de incorporação de trabalhadores informais e unidades econômicas na economia formal, por meio de seu fortalecimento e extensão de seus direitos, proteção e benefícios</w:t>
                                  </w:r>
                                  <w:r w:rsidR="00EB5843" w:rsidRPr="008342D8">
                                    <w:rPr>
                                      <w:rFonts w:cs="Fo6S0"/>
                                      <w:color w:val="000000" w:themeColor="text1"/>
                                      <w:sz w:val="28"/>
                                      <w:szCs w:val="28"/>
                                      <w:lang w:val="pt-BR"/>
                                    </w:rPr>
                                    <w:t>.</w:t>
                                  </w:r>
                                </w:p>
                                <w:p w14:paraId="54A98E72" w14:textId="77777777" w:rsidR="00EB5843" w:rsidRPr="008342D8" w:rsidRDefault="00EB5843" w:rsidP="00EB584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="Fo6S0"/>
                                      <w:b/>
                                      <w:color w:val="1A1917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</w:p>
                                <w:p w14:paraId="07CA8974" w14:textId="77777777" w:rsidR="00EB5843" w:rsidRPr="008342D8" w:rsidRDefault="00EB5843" w:rsidP="00EB58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jc w:val="both"/>
                                    <w:rPr>
                                      <w:rFonts w:cs="Fo6S0"/>
                                      <w:i/>
                                      <w:color w:val="1A1917"/>
                                      <w:sz w:val="28"/>
                                      <w:szCs w:val="28"/>
                                      <w:lang w:val="pt-BR"/>
                                    </w:rPr>
                                  </w:pPr>
                                </w:p>
                                <w:p w14:paraId="0007D90C" w14:textId="77777777" w:rsidR="00EB5843" w:rsidRPr="008342D8" w:rsidRDefault="00EB5843" w:rsidP="00EB5843">
                                  <w:pPr>
                                    <w:pStyle w:val="Ttulo1"/>
                                    <w:rPr>
                                      <w:lang w:val="pt-BR"/>
                                    </w:rPr>
                                  </w:pPr>
                                </w:p>
                                <w:p w14:paraId="481E53C9" w14:textId="77777777" w:rsidR="00EB5843" w:rsidRDefault="00EB5843" w:rsidP="00EB5843">
                                  <w:pPr>
                                    <w:pStyle w:val="Name"/>
                                  </w:pPr>
                                  <w:r>
                                    <w:rPr>
                                      <w:rStyle w:val="nfase"/>
                                    </w:rPr>
                                    <w:t>by</w:t>
                                  </w: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alias w:val="Article Author"/>
                                      <w:tag w:val="Article Author"/>
                                      <w:id w:val="-1393727120"/>
                                      <w:temporary/>
                                      <w:showingPlcHdr/>
                                    </w:sdtPr>
                                    <w:sdtContent>
                                      <w:r>
                                        <w:t>[Article Author]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4D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0;margin-top:2.5pt;width:361.0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" o:allowincell="f" fillcolor="silver" stroked="f">
                      <v:textbox inset="0,0,0,0">
                        <w:txbxContent>
                          <w:p w14:paraId="1101EE76" w14:textId="7FE46FA7" w:rsidR="00EB5843" w:rsidRPr="008342D8" w:rsidRDefault="008342D8" w:rsidP="00EB584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342D8"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A Recomendação 204 (2015) sobre a Transição da </w:t>
                            </w:r>
                            <w:r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Pr="008342D8"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conomia </w:t>
                            </w:r>
                            <w:r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8342D8"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nformal para a </w:t>
                            </w:r>
                            <w:r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f</w:t>
                            </w:r>
                            <w:r w:rsidRPr="008342D8">
                              <w:rPr>
                                <w:rFonts w:cs="Fo6S0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ormal</w:t>
                            </w:r>
                          </w:p>
                          <w:p w14:paraId="1225F15F" w14:textId="38A15040" w:rsidR="00EB5843" w:rsidRPr="008342D8" w:rsidRDefault="008342D8" w:rsidP="00EB584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Fo6S0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342D8">
                              <w:rPr>
                                <w:rFonts w:cs="Fo6S0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A maioria dos trabalhadores em todo o mundo atua na economia informal, e a maioria dos novos empregos são empregos informais. Não existe uma maneira única e ágil de formalizar o emprego informal. Portanto, trata-se de um processo que deve ser entendido como um gradual e contínuo de incorporação de trabalhadores informais e unidades econômicas na economia formal, por meio de seu fortalecimento e extensão de seus direitos, proteção e benefícios</w:t>
                            </w:r>
                            <w:r w:rsidR="00EB5843" w:rsidRPr="008342D8">
                              <w:rPr>
                                <w:rFonts w:cs="Fo6S0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</w:p>
                          <w:p w14:paraId="54A98E72" w14:textId="77777777" w:rsidR="00EB5843" w:rsidRPr="008342D8" w:rsidRDefault="00EB5843" w:rsidP="00EB584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Fo6S0"/>
                                <w:b/>
                                <w:color w:val="1A1917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07CA8974" w14:textId="77777777" w:rsidR="00EB5843" w:rsidRPr="008342D8" w:rsidRDefault="00EB5843" w:rsidP="00EB58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="Fo6S0"/>
                                <w:i/>
                                <w:color w:val="1A1917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0007D90C" w14:textId="77777777" w:rsidR="00EB5843" w:rsidRPr="008342D8" w:rsidRDefault="00EB5843" w:rsidP="00EB5843">
                            <w:pPr>
                              <w:pStyle w:val="Ttulo1"/>
                              <w:rPr>
                                <w:lang w:val="pt-BR"/>
                              </w:rPr>
                            </w:pPr>
                          </w:p>
                          <w:p w14:paraId="481E53C9" w14:textId="77777777" w:rsidR="00EB5843" w:rsidRDefault="00EB5843" w:rsidP="00EB5843">
                            <w:pPr>
                              <w:pStyle w:val="Name"/>
                            </w:pPr>
                            <w:r>
                              <w:rPr>
                                <w:rStyle w:val="nfase"/>
                              </w:rPr>
                              <w:t>by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Article Author"/>
                                <w:tag w:val="Article Author"/>
                                <w:id w:val="-1393727120"/>
                                <w:temporary/>
                                <w:showingPlcHdr/>
                              </w:sdtPr>
                              <w:sdtContent>
                                <w:r>
                                  <w:t>[Article Author]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="00362A9E" w:rsidRPr="00517D94">
              <w:rPr>
                <w:rFonts w:ascii="Calibri" w:eastAsia="Calibri" w:hAnsi="Calibri" w:cs="Fo6S0"/>
                <w:b/>
                <w:color w:val="C00000"/>
                <w:sz w:val="40"/>
                <w:szCs w:val="40"/>
                <w:lang w:val="pt-BR"/>
              </w:rPr>
              <w:t>Do que os trabalhadores informais precisam?</w:t>
            </w:r>
          </w:p>
          <w:p w14:paraId="0883022F" w14:textId="0A256119" w:rsidR="00362A9E" w:rsidRPr="00517D94" w:rsidRDefault="00362A9E" w:rsidP="00362A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</w:pP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 xml:space="preserve">Direitos </w:t>
            </w:r>
            <w:r w:rsid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o</w:t>
            </w: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rganizacionais/</w:t>
            </w:r>
            <w:r w:rsid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t</w:t>
            </w: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rabalhistas;</w:t>
            </w:r>
          </w:p>
          <w:p w14:paraId="24F77B66" w14:textId="5DF677E4" w:rsidR="00362A9E" w:rsidRPr="00517D94" w:rsidRDefault="00362A9E" w:rsidP="00362A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</w:pP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Participação social e poder de negociação;</w:t>
            </w:r>
          </w:p>
          <w:p w14:paraId="4545C5FB" w14:textId="17B02382" w:rsidR="00362A9E" w:rsidRPr="00517D94" w:rsidRDefault="00C50D2D" w:rsidP="00362A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</w:pP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Identidade e status jurídicos</w:t>
            </w:r>
            <w:r w:rsidR="00362A9E"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;</w:t>
            </w:r>
          </w:p>
          <w:p w14:paraId="20C9046E" w14:textId="7E75CF28" w:rsidR="00362A9E" w:rsidRPr="00517D94" w:rsidRDefault="00362A9E" w:rsidP="00362A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</w:pP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Direitos econômicos;</w:t>
            </w:r>
          </w:p>
          <w:p w14:paraId="49EA2122" w14:textId="08992752" w:rsidR="00EB5843" w:rsidRPr="00517D94" w:rsidRDefault="00362A9E" w:rsidP="00362A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eastAsia="Calibri" w:hAnsi="Calibri" w:cs="Fo6S0"/>
                <w:b/>
                <w:color w:val="2F5496" w:themeColor="accent1" w:themeShade="BF"/>
                <w:sz w:val="32"/>
                <w:szCs w:val="32"/>
                <w:lang w:val="pt-BR"/>
              </w:rPr>
            </w:pPr>
            <w:r w:rsidRPr="00517D94">
              <w:rPr>
                <w:rFonts w:ascii="Calibri" w:eastAsia="Calibri" w:hAnsi="Calibri" w:cs="Fo6S0"/>
                <w:color w:val="C00000"/>
                <w:sz w:val="36"/>
                <w:szCs w:val="36"/>
                <w:lang w:val="pt-BR"/>
              </w:rPr>
              <w:t>Direitos sociais, incluindo a proteção social</w:t>
            </w:r>
          </w:p>
          <w:p w14:paraId="3605FB54" w14:textId="77777777" w:rsidR="00EB5843" w:rsidRPr="00517D94" w:rsidRDefault="00EB5843" w:rsidP="00EB58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262626" w:themeColor="text1" w:themeTint="D9"/>
                <w:sz w:val="18"/>
                <w:lang w:val="pt-BR"/>
              </w:rPr>
            </w:pPr>
          </w:p>
        </w:tc>
        <w:tc>
          <w:tcPr>
            <w:tcW w:w="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14:paraId="1E87A786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  <w:tc>
          <w:tcPr>
            <w:tcW w:w="4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1"/>
          </w:tcPr>
          <w:p w14:paraId="553289A2" w14:textId="6E9CF152" w:rsidR="00EB5843" w:rsidRPr="00517D94" w:rsidRDefault="00362A9E" w:rsidP="00EB5843">
            <w:pPr>
              <w:spacing w:after="180"/>
              <w:jc w:val="both"/>
              <w:rPr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Em junho de </w:t>
            </w:r>
            <w:r w:rsidR="00EB5843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2015, </w:t>
            </w:r>
            <w:r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a OIT adotou </w:t>
            </w:r>
            <w:r w:rsidR="00D76D91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um novo padrão internacional de trabalho </w:t>
            </w:r>
            <w:r w:rsidR="00EB5843" w:rsidRPr="00517D94">
              <w:rPr>
                <w:color w:val="FFFFFF" w:themeColor="background1"/>
                <w:sz w:val="28"/>
                <w:szCs w:val="28"/>
                <w:lang w:val="pt-BR"/>
              </w:rPr>
              <w:t>–</w:t>
            </w:r>
            <w:r w:rsidR="00D76D91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 a</w:t>
            </w:r>
            <w:r w:rsidR="00EB5843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EB5843" w:rsidRPr="00517D94">
              <w:rPr>
                <w:color w:val="FFFFFF" w:themeColor="background1"/>
                <w:sz w:val="28"/>
                <w:szCs w:val="28"/>
                <w:u w:val="single"/>
                <w:lang w:val="pt-BR"/>
              </w:rPr>
              <w:t>Recom</w:t>
            </w:r>
            <w:r w:rsidR="00D76D91" w:rsidRPr="00517D94">
              <w:rPr>
                <w:color w:val="FFFFFF" w:themeColor="background1"/>
                <w:sz w:val="28"/>
                <w:szCs w:val="28"/>
                <w:u w:val="single"/>
                <w:lang w:val="pt-BR"/>
              </w:rPr>
              <w:t xml:space="preserve">endação </w:t>
            </w:r>
            <w:r w:rsidR="00EB5843" w:rsidRPr="00517D94">
              <w:rPr>
                <w:color w:val="FFFFFF" w:themeColor="background1"/>
                <w:sz w:val="28"/>
                <w:szCs w:val="28"/>
                <w:u w:val="single"/>
                <w:lang w:val="pt-BR"/>
              </w:rPr>
              <w:t>204.</w:t>
            </w:r>
            <w:r w:rsidR="00EB5843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DE266C" w:rsidRPr="00517D94">
              <w:rPr>
                <w:color w:val="FFFFFF" w:themeColor="background1"/>
                <w:sz w:val="28"/>
                <w:szCs w:val="28"/>
                <w:lang w:val="pt-BR"/>
              </w:rPr>
              <w:t xml:space="preserve">É o primeiro padrão internacional de trabalho especificamente voltado para a economia informal. A R204 contém muitas disposições de apoio aos trabalhadores informais, </w:t>
            </w:r>
            <w:r w:rsidR="00DE266C" w:rsidRPr="00517D94">
              <w:rPr>
                <w:color w:val="FFFFFF" w:themeColor="background1"/>
                <w:sz w:val="28"/>
                <w:szCs w:val="28"/>
                <w:lang w:val="pt-BR"/>
              </w:rPr>
              <w:t>como</w:t>
            </w:r>
            <w:r w:rsidR="00EB5843" w:rsidRPr="00517D94">
              <w:rPr>
                <w:color w:val="FFFFFF" w:themeColor="background1"/>
                <w:sz w:val="28"/>
                <w:szCs w:val="28"/>
                <w:lang w:val="pt-BR"/>
              </w:rPr>
              <w:t>:</w:t>
            </w:r>
          </w:p>
          <w:p w14:paraId="0ED6F069" w14:textId="0977BA33" w:rsidR="00EB5843" w:rsidRPr="00517D94" w:rsidRDefault="00DE266C" w:rsidP="00EB5843">
            <w:pPr>
              <w:spacing w:after="180"/>
              <w:ind w:left="360"/>
              <w:jc w:val="both"/>
              <w:rPr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o direito à liberdade de associação e negociação coletiva</w:t>
            </w:r>
            <w:r w:rsidR="00EB5843"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;</w:t>
            </w:r>
          </w:p>
          <w:p w14:paraId="66D1967A" w14:textId="218E089C" w:rsidR="00EB5843" w:rsidRPr="00517D94" w:rsidRDefault="00DE266C" w:rsidP="00EB5843">
            <w:pPr>
              <w:spacing w:after="180"/>
              <w:ind w:left="360"/>
              <w:jc w:val="both"/>
              <w:rPr>
                <w:i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proteção social</w:t>
            </w:r>
            <w:r w:rsidR="00EB5843"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;</w:t>
            </w:r>
          </w:p>
          <w:p w14:paraId="1186B837" w14:textId="0EE7B9A3" w:rsidR="00EB5843" w:rsidRPr="00517D94" w:rsidRDefault="00DE266C" w:rsidP="00EB5843">
            <w:pPr>
              <w:spacing w:after="180"/>
              <w:ind w:left="360"/>
              <w:jc w:val="both"/>
              <w:rPr>
                <w:i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saúde e segurança ocupacional</w:t>
            </w:r>
            <w:r w:rsidR="00EB5843"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;</w:t>
            </w:r>
          </w:p>
          <w:p w14:paraId="0DBCD498" w14:textId="77777777" w:rsidR="00DE266C" w:rsidRPr="00517D94" w:rsidRDefault="00DE266C" w:rsidP="00DE266C">
            <w:pPr>
              <w:spacing w:after="180"/>
              <w:ind w:left="360"/>
              <w:jc w:val="both"/>
              <w:rPr>
                <w:i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acesso regulamentado ao espaço público e aos recursos naturais</w:t>
            </w:r>
            <w:r w:rsidR="00EB5843"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;</w:t>
            </w: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</w:p>
          <w:p w14:paraId="0EA858F9" w14:textId="359AC679" w:rsidR="00EB5843" w:rsidRPr="00517D94" w:rsidRDefault="00DE266C" w:rsidP="00DE266C">
            <w:pPr>
              <w:spacing w:after="180"/>
              <w:ind w:left="360"/>
              <w:jc w:val="both"/>
              <w:rPr>
                <w:i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estipula que os meios de subsistência devem ser preservados e melhorados durante o processo de transição</w:t>
            </w:r>
            <w:r w:rsidR="00EB5843" w:rsidRPr="00517D94">
              <w:rPr>
                <w:i/>
                <w:color w:val="FFFFFF" w:themeColor="background1"/>
                <w:sz w:val="28"/>
                <w:szCs w:val="28"/>
                <w:lang w:val="pt-BR"/>
              </w:rPr>
              <w:t>.</w:t>
            </w:r>
          </w:p>
          <w:p w14:paraId="6B69F5A3" w14:textId="77777777" w:rsidR="00EB5843" w:rsidRPr="00517D94" w:rsidRDefault="00EB5843" w:rsidP="00EB5843">
            <w:pPr>
              <w:spacing w:after="180"/>
              <w:rPr>
                <w:color w:val="262626" w:themeColor="text1" w:themeTint="D9"/>
                <w:sz w:val="28"/>
                <w:szCs w:val="28"/>
                <w:lang w:val="pt-BR"/>
              </w:rPr>
            </w:pPr>
          </w:p>
          <w:p w14:paraId="5B015C5C" w14:textId="77777777" w:rsidR="00EB5843" w:rsidRPr="00517D94" w:rsidRDefault="00EB5843" w:rsidP="00EB5843">
            <w:pPr>
              <w:spacing w:after="180"/>
              <w:rPr>
                <w:color w:val="262626" w:themeColor="text1" w:themeTint="D9"/>
                <w:sz w:val="28"/>
                <w:szCs w:val="28"/>
                <w:lang w:val="pt-BR"/>
              </w:rPr>
            </w:pPr>
          </w:p>
          <w:tbl>
            <w:tblPr>
              <w:tblW w:w="4802" w:type="pct"/>
              <w:tblLayout w:type="fixed"/>
              <w:tblLook w:val="04A0" w:firstRow="1" w:lastRow="0" w:firstColumn="1" w:lastColumn="0" w:noHBand="0" w:noVBand="1"/>
            </w:tblPr>
            <w:tblGrid>
              <w:gridCol w:w="4199"/>
            </w:tblGrid>
            <w:tr w:rsidR="00EB5843" w:rsidRPr="00517D94" w14:paraId="010A4DFB" w14:textId="77777777" w:rsidTr="00D5633E">
              <w:tc>
                <w:tcPr>
                  <w:tcW w:w="5000" w:type="pct"/>
                </w:tcPr>
                <w:p w14:paraId="5E410FDC" w14:textId="77777777" w:rsidR="00EB5843" w:rsidRPr="00517D94" w:rsidRDefault="00EB5843" w:rsidP="00EB5843">
                  <w:pPr>
                    <w:spacing w:after="200" w:line="276" w:lineRule="auto"/>
                    <w:rPr>
                      <w:rFonts w:ascii="Arial" w:eastAsia="Calibri" w:hAnsi="Arial" w:cs="Arial"/>
                      <w:color w:val="1A1917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EB5843" w:rsidRPr="00517D94" w14:paraId="53FA6188" w14:textId="77777777" w:rsidTr="00D5633E">
              <w:trPr>
                <w:trHeight w:val="3312"/>
              </w:trPr>
              <w:tc>
                <w:tcPr>
                  <w:tcW w:w="5000" w:type="pct"/>
                  <w:vAlign w:val="bottom"/>
                </w:tcPr>
                <w:p w14:paraId="035E4E9C" w14:textId="77777777" w:rsidR="00EB5843" w:rsidRPr="00517D94" w:rsidRDefault="00000000" w:rsidP="00EB5843">
                  <w:pPr>
                    <w:numPr>
                      <w:ilvl w:val="1"/>
                      <w:numId w:val="0"/>
                    </w:numPr>
                    <w:spacing w:after="180" w:line="240" w:lineRule="auto"/>
                    <w:ind w:right="216"/>
                    <w:jc w:val="right"/>
                    <w:rPr>
                      <w:rFonts w:ascii="Arial" w:eastAsiaTheme="majorEastAsia" w:hAnsi="Arial" w:cs="Arial"/>
                      <w:iCs/>
                      <w:color w:val="FFFFFF" w:themeColor="background1"/>
                      <w:spacing w:val="15"/>
                      <w:lang w:val="pt-BR"/>
                    </w:rPr>
                  </w:pPr>
                  <w:sdt>
                    <w:sdtPr>
                      <w:rPr>
                        <w:rFonts w:ascii="Arial" w:eastAsiaTheme="majorEastAsia" w:hAnsi="Arial" w:cs="Arial"/>
                        <w:iCs/>
                        <w:color w:val="FFFFFF" w:themeColor="background1"/>
                        <w:spacing w:val="15"/>
                        <w:lang w:val="pt-BR"/>
                      </w:rPr>
                      <w:alias w:val="Issue Date"/>
                      <w:tag w:val="Issue Date"/>
                      <w:id w:val="-191461034"/>
                      <w:placeholder>
                        <w:docPart w:val="0BD1446E2508431088148808EFAD245A"/>
                      </w:placeholder>
                      <w:temporary/>
                      <w:showingPlcHdr/>
                    </w:sdtPr>
                    <w:sdtContent>
                      <w:r w:rsidR="00EB5843" w:rsidRPr="00517D94"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pacing w:val="15"/>
                          <w:lang w:val="pt-BR"/>
                        </w:rPr>
                        <w:t>Issue Date</w:t>
                      </w:r>
                    </w:sdtContent>
                  </w:sdt>
                </w:p>
              </w:tc>
            </w:tr>
          </w:tbl>
          <w:p w14:paraId="477C7FD8" w14:textId="77777777" w:rsidR="00EB5843" w:rsidRPr="00517D94" w:rsidRDefault="00EB5843" w:rsidP="00EB5843">
            <w:pPr>
              <w:numPr>
                <w:ilvl w:val="1"/>
                <w:numId w:val="0"/>
              </w:numPr>
              <w:spacing w:after="180"/>
              <w:ind w:right="216"/>
              <w:jc w:val="right"/>
              <w:rPr>
                <w:rFonts w:ascii="Arial" w:eastAsiaTheme="majorEastAsia" w:hAnsi="Arial" w:cs="Arial"/>
                <w:iCs/>
                <w:color w:val="FFFFFF" w:themeColor="background1"/>
                <w:spacing w:val="15"/>
                <w:lang w:val="pt-BR"/>
              </w:rPr>
            </w:pPr>
          </w:p>
        </w:tc>
      </w:tr>
      <w:tr w:rsidR="00EB5843" w:rsidRPr="00517D94" w14:paraId="07303C0C" w14:textId="77777777" w:rsidTr="00D5633E">
        <w:trPr>
          <w:cantSplit/>
          <w:trHeight w:hRule="exact" w:val="78"/>
          <w:jc w:val="center"/>
        </w:trPr>
        <w:tc>
          <w:tcPr>
            <w:tcW w:w="7105" w:type="dxa"/>
            <w:tcBorders>
              <w:top w:val="single" w:sz="4" w:space="0" w:color="FFFFFF" w:themeColor="background1"/>
            </w:tcBorders>
          </w:tcPr>
          <w:p w14:paraId="7F5DF494" w14:textId="77777777" w:rsidR="00EB5843" w:rsidRPr="00517D94" w:rsidRDefault="00EB5843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28"/>
                <w:szCs w:val="28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</w:rPr>
              <w:t>Benefits of operating formally for street traders:</w:t>
            </w:r>
          </w:p>
          <w:p w14:paraId="527CD57D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simplified registration procedures and simple administration</w:t>
            </w:r>
          </w:p>
          <w:p w14:paraId="1A1702D7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progressive taxation system</w:t>
            </w:r>
          </w:p>
          <w:p w14:paraId="7FD4B131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protection from harassment</w:t>
            </w:r>
          </w:p>
          <w:p w14:paraId="1D9EA2C2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access to resources and facilities workers’ rights</w:t>
            </w:r>
          </w:p>
          <w:p w14:paraId="69D6ACFD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support services, such as access to financial services and training</w:t>
            </w:r>
          </w:p>
          <w:p w14:paraId="6BB74ECF" w14:textId="77777777" w:rsidR="00EB5843" w:rsidRPr="00517D94" w:rsidRDefault="00EB5843" w:rsidP="00EB5843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inclusion in participatory budgeting and decision-making processes including at local government level</w:t>
            </w:r>
          </w:p>
          <w:p w14:paraId="7257406D" w14:textId="77777777" w:rsidR="00EB5843" w:rsidRPr="00517D94" w:rsidRDefault="00EB5843" w:rsidP="00EB5843">
            <w:pPr>
              <w:autoSpaceDE w:val="0"/>
              <w:autoSpaceDN w:val="0"/>
              <w:adjustRightInd w:val="0"/>
              <w:spacing w:after="180"/>
              <w:rPr>
                <w:rFonts w:cs="Fo6S0"/>
                <w:color w:val="1A1917"/>
                <w:sz w:val="28"/>
                <w:szCs w:val="28"/>
                <w:lang w:val="pt-BR"/>
              </w:rPr>
            </w:pPr>
          </w:p>
          <w:p w14:paraId="184F7EBA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  <w:tc>
          <w:tcPr>
            <w:tcW w:w="26" w:type="dxa"/>
          </w:tcPr>
          <w:p w14:paraId="3CBD530D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  <w:tc>
          <w:tcPr>
            <w:tcW w:w="4384" w:type="dxa"/>
            <w:tcBorders>
              <w:top w:val="single" w:sz="4" w:space="0" w:color="FFFFFF" w:themeColor="background1"/>
            </w:tcBorders>
          </w:tcPr>
          <w:p w14:paraId="4627FD61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</w:tr>
      <w:tr w:rsidR="00EB5843" w:rsidRPr="00517D94" w14:paraId="65041103" w14:textId="77777777" w:rsidTr="00EB5843">
        <w:trPr>
          <w:cantSplit/>
          <w:trHeight w:val="5967"/>
          <w:jc w:val="center"/>
        </w:trPr>
        <w:tc>
          <w:tcPr>
            <w:tcW w:w="7105" w:type="dxa"/>
            <w:shd w:val="clear" w:color="auto" w:fill="ED7D31" w:themeFill="accent2"/>
            <w:tcMar>
              <w:left w:w="0" w:type="dxa"/>
              <w:right w:w="115" w:type="dxa"/>
            </w:tcMar>
            <w:vAlign w:val="center"/>
          </w:tcPr>
          <w:p w14:paraId="607C489D" w14:textId="5431EE8A" w:rsidR="00EB5843" w:rsidRPr="00517D94" w:rsidRDefault="00362A9E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center"/>
              <w:rPr>
                <w:rFonts w:cs="Fo6S0"/>
                <w:b/>
                <w:color w:val="1A1917"/>
                <w:sz w:val="32"/>
                <w:szCs w:val="32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32"/>
                <w:szCs w:val="32"/>
                <w:lang w:val="pt-BR"/>
              </w:rPr>
              <w:t>Benefícios da formalidade para comerciantes de rua</w:t>
            </w:r>
            <w:r w:rsidR="00EB5843" w:rsidRPr="00517D94">
              <w:rPr>
                <w:rFonts w:cs="Fo6S0"/>
                <w:b/>
                <w:color w:val="1A1917"/>
                <w:sz w:val="32"/>
                <w:szCs w:val="32"/>
                <w:lang w:val="pt-BR"/>
              </w:rPr>
              <w:t>:</w:t>
            </w:r>
          </w:p>
          <w:p w14:paraId="03C69E46" w14:textId="0C817088" w:rsidR="00362A9E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procedimentos de registro simplificados e administração simples;</w:t>
            </w:r>
          </w:p>
          <w:p w14:paraId="75B28837" w14:textId="5CC6D55D" w:rsidR="00362A9E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sistema de tributação progressiva;</w:t>
            </w:r>
          </w:p>
          <w:p w14:paraId="5D20AD4D" w14:textId="52F44752" w:rsidR="00362A9E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proteção contra assédio;</w:t>
            </w:r>
          </w:p>
          <w:p w14:paraId="49A53E9C" w14:textId="0060FC45" w:rsidR="00362A9E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direitos dos trabalhadores de acesso a recursos e instalações;</w:t>
            </w:r>
          </w:p>
          <w:p w14:paraId="635FC621" w14:textId="23BA90A0" w:rsidR="00362A9E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serviços de apoio, como acesso a serviços financeiros e treinamento;</w:t>
            </w:r>
          </w:p>
          <w:p w14:paraId="57460980" w14:textId="474B0E63" w:rsidR="00EB5843" w:rsidRPr="00517D94" w:rsidRDefault="00362A9E" w:rsidP="00362A9E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inclusão no orçamento participativo e nos processos decisórios, inclusive no nível do governo local</w:t>
            </w:r>
            <w:r w:rsidR="00EB5843" w:rsidRPr="00517D94">
              <w:rPr>
                <w:rFonts w:cs="Fo6S0"/>
                <w:b/>
                <w:color w:val="1A1917"/>
                <w:sz w:val="28"/>
                <w:szCs w:val="28"/>
                <w:lang w:val="pt-BR"/>
              </w:rPr>
              <w:t>.</w:t>
            </w:r>
          </w:p>
          <w:p w14:paraId="34E76445" w14:textId="77777777" w:rsidR="00EB5843" w:rsidRPr="00517D94" w:rsidRDefault="00EB5843" w:rsidP="00EB5843">
            <w:pPr>
              <w:autoSpaceDE w:val="0"/>
              <w:autoSpaceDN w:val="0"/>
              <w:adjustRightInd w:val="0"/>
              <w:spacing w:after="180"/>
              <w:rPr>
                <w:rFonts w:cs="Fo6S0"/>
                <w:color w:val="1A1917"/>
                <w:sz w:val="28"/>
                <w:szCs w:val="28"/>
                <w:lang w:val="pt-BR"/>
              </w:rPr>
            </w:pPr>
          </w:p>
          <w:p w14:paraId="2BFE6CB5" w14:textId="77777777" w:rsidR="00EB5843" w:rsidRPr="00517D94" w:rsidRDefault="00EB5843" w:rsidP="00EB5843">
            <w:pPr>
              <w:keepNext/>
              <w:keepLines/>
              <w:ind w:left="216"/>
              <w:outlineLvl w:val="3"/>
              <w:rPr>
                <w:rFonts w:eastAsiaTheme="majorEastAsia" w:cstheme="majorBidi"/>
                <w:bCs/>
                <w:iCs/>
                <w:caps/>
                <w:color w:val="FFFFFF" w:themeColor="background1"/>
                <w:sz w:val="18"/>
                <w:lang w:val="pt-BR"/>
              </w:rPr>
            </w:pPr>
          </w:p>
        </w:tc>
        <w:tc>
          <w:tcPr>
            <w:tcW w:w="26" w:type="dxa"/>
            <w:tcMar>
              <w:left w:w="0" w:type="dxa"/>
              <w:right w:w="0" w:type="dxa"/>
            </w:tcMar>
            <w:vAlign w:val="center"/>
          </w:tcPr>
          <w:p w14:paraId="5A9D13B9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  <w:tc>
          <w:tcPr>
            <w:tcW w:w="4384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14:paraId="6EF18347" w14:textId="77777777" w:rsidR="004E1A79" w:rsidRPr="00517D94" w:rsidRDefault="004E1A79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color w:val="FFFFFF" w:themeColor="background1"/>
                <w:sz w:val="28"/>
                <w:szCs w:val="28"/>
                <w:lang w:val="pt-BR"/>
              </w:rPr>
              <w:t>Como usar a Rec204 em sua estratégia política junto ao poder público?</w:t>
            </w:r>
          </w:p>
          <w:p w14:paraId="4BE9E2A3" w14:textId="66A27B2B" w:rsidR="00EB5843" w:rsidRPr="00517D94" w:rsidRDefault="00EB5843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</w:pPr>
            <w:r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 xml:space="preserve">R204 </w:t>
            </w:r>
            <w:r w:rsidR="004E1A79"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>é uma ferramenta valiosa</w:t>
            </w:r>
            <w:r w:rsidR="004E1A79" w:rsidRPr="00517D94">
              <w:rPr>
                <w:rFonts w:cs="Fo6S0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4E1A79" w:rsidRPr="00517D94">
              <w:rPr>
                <w:rFonts w:cs="Fo6S0"/>
                <w:color w:val="FFFFFF" w:themeColor="background1"/>
                <w:sz w:val="28"/>
                <w:szCs w:val="28"/>
                <w:lang w:val="pt-BR"/>
              </w:rPr>
              <w:t>para ações de incidência política junto ao poder público federal ou local; é também um instrumento para fortalecer a voz do trabalhador informal organizado na reivindicação de seu direito legítimo ao trabalho, apesar da negligência governamental com o trabalho informal</w:t>
            </w:r>
            <w:r w:rsidRPr="00517D94">
              <w:rPr>
                <w:rFonts w:cs="Fo6S0"/>
                <w:color w:val="FFFFFF" w:themeColor="background1"/>
                <w:sz w:val="28"/>
                <w:szCs w:val="28"/>
                <w:lang w:val="pt-BR"/>
              </w:rPr>
              <w:t>.</w:t>
            </w:r>
            <w:r w:rsidRPr="00517D94">
              <w:rPr>
                <w:color w:val="FFFFFF" w:themeColor="background1"/>
                <w:sz w:val="18"/>
                <w:lang w:val="pt-BR"/>
              </w:rPr>
              <w:t xml:space="preserve"> </w:t>
            </w:r>
            <w:r w:rsidR="004E1A79"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>E ela é sua</w:t>
            </w:r>
            <w:r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 xml:space="preserve">! </w:t>
            </w:r>
          </w:p>
          <w:p w14:paraId="66A86BEB" w14:textId="35C787C4" w:rsidR="00EB5843" w:rsidRPr="00517D94" w:rsidRDefault="00EB5843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color w:val="FFFFFF" w:themeColor="background1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>Use</w:t>
            </w:r>
            <w:r w:rsidR="004E1A79" w:rsidRPr="00517D94">
              <w:rPr>
                <w:rFonts w:cs="Fo6S0"/>
                <w:color w:val="FFFFFF" w:themeColor="background1"/>
                <w:sz w:val="28"/>
                <w:szCs w:val="28"/>
                <w:u w:val="single"/>
                <w:lang w:val="pt-BR"/>
              </w:rPr>
              <w:t>-a a seu favor</w:t>
            </w:r>
            <w:r w:rsidRPr="00517D94">
              <w:rPr>
                <w:rFonts w:cs="Fo6S0"/>
                <w:color w:val="FFFFFF" w:themeColor="background1"/>
                <w:sz w:val="28"/>
                <w:szCs w:val="28"/>
                <w:lang w:val="pt-BR"/>
              </w:rPr>
              <w:t>!</w:t>
            </w:r>
          </w:p>
          <w:p w14:paraId="6640F501" w14:textId="77777777" w:rsidR="00EB5843" w:rsidRPr="00517D94" w:rsidRDefault="00EB5843" w:rsidP="00EB5843">
            <w:pPr>
              <w:keepNext/>
              <w:keepLines/>
              <w:ind w:left="216"/>
              <w:outlineLvl w:val="3"/>
              <w:rPr>
                <w:rFonts w:eastAsiaTheme="majorEastAsia" w:cstheme="majorBidi"/>
                <w:bCs/>
                <w:iCs/>
                <w:caps/>
                <w:color w:val="FFFFFF" w:themeColor="background1"/>
                <w:sz w:val="18"/>
                <w:lang w:val="pt-BR"/>
              </w:rPr>
            </w:pPr>
          </w:p>
        </w:tc>
      </w:tr>
      <w:tr w:rsidR="00EB5843" w:rsidRPr="00517D94" w14:paraId="4236582C" w14:textId="77777777" w:rsidTr="00EB5843">
        <w:trPr>
          <w:cantSplit/>
          <w:trHeight w:val="15021"/>
          <w:jc w:val="center"/>
        </w:trPr>
        <w:tc>
          <w:tcPr>
            <w:tcW w:w="7105" w:type="dxa"/>
            <w:shd w:val="clear" w:color="auto" w:fill="ED7D31" w:themeFill="accent2"/>
            <w:tcMar>
              <w:left w:w="0" w:type="dxa"/>
              <w:right w:w="115" w:type="dxa"/>
            </w:tcMar>
            <w:vAlign w:val="center"/>
          </w:tcPr>
          <w:p w14:paraId="680D7E46" w14:textId="6E3D821E" w:rsidR="00EB5843" w:rsidRPr="00517D94" w:rsidRDefault="00C0574E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32"/>
                <w:szCs w:val="32"/>
                <w:u w:val="single"/>
                <w:lang w:val="pt-BR"/>
              </w:rPr>
            </w:pPr>
            <w:r w:rsidRPr="00517D94">
              <w:rPr>
                <w:rFonts w:cs="Fo6S0"/>
                <w:b/>
                <w:color w:val="1A1917"/>
                <w:sz w:val="32"/>
                <w:szCs w:val="32"/>
                <w:u w:val="single"/>
                <w:lang w:val="pt-BR"/>
              </w:rPr>
              <w:lastRenderedPageBreak/>
              <w:t xml:space="preserve">Demandas dos vendedores </w:t>
            </w:r>
            <w:r w:rsidRPr="00517D94">
              <w:rPr>
                <w:rFonts w:cs="Fo6S0"/>
                <w:b/>
                <w:color w:val="1A1917"/>
                <w:sz w:val="32"/>
                <w:szCs w:val="32"/>
                <w:u w:val="single"/>
                <w:lang w:val="pt-BR"/>
              </w:rPr>
              <w:t xml:space="preserve">de rua </w:t>
            </w:r>
            <w:r w:rsidRPr="00517D94">
              <w:rPr>
                <w:rFonts w:cs="Fo6S0"/>
                <w:b/>
                <w:color w:val="1A1917"/>
                <w:sz w:val="32"/>
                <w:szCs w:val="32"/>
                <w:u w:val="single"/>
                <w:lang w:val="pt-BR"/>
              </w:rPr>
              <w:t>apoiadas pela Rec204</w:t>
            </w:r>
            <w:r w:rsidR="00EB5843" w:rsidRPr="00517D94">
              <w:rPr>
                <w:rFonts w:cs="Fo6S0"/>
                <w:b/>
                <w:color w:val="1A1917"/>
                <w:sz w:val="32"/>
                <w:szCs w:val="32"/>
                <w:u w:val="single"/>
                <w:lang w:val="pt-BR"/>
              </w:rPr>
              <w:t>:</w:t>
            </w:r>
          </w:p>
          <w:p w14:paraId="43C0D158" w14:textId="3C1D719A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fim do assédio, confisco de bens, despejos, mandados e condenações arbitrárias, realocações arbitrárias, pagamentos não oficiais e/ou subornos</w:t>
            </w:r>
          </w:p>
          <w:p w14:paraId="572BEB1E" w14:textId="01F6145C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fim do medo das autoridades e d</w:t>
            </w:r>
            <w:r w:rsidR="00517D94">
              <w:rPr>
                <w:rFonts w:cs="Fo6S0"/>
                <w:color w:val="1A1917"/>
                <w:sz w:val="28"/>
                <w:szCs w:val="28"/>
                <w:lang w:val="pt-BR"/>
              </w:rPr>
              <w:t>o crime organizado</w:t>
            </w:r>
          </w:p>
          <w:p w14:paraId="4AE7C90C" w14:textId="08D45B02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fim da exploração por intermediários que cobram altas taxas</w:t>
            </w:r>
          </w:p>
          <w:p w14:paraId="3918A175" w14:textId="55B4163F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o direito de ter mercados de vendedores ambulantes reconhecidos e incluídos nos planos de zoneamento urbano e de alocação de terras</w:t>
            </w:r>
          </w:p>
          <w:p w14:paraId="00F6E604" w14:textId="78C64367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o direito de vender em espaços públicos em condições justas e razoáveis</w:t>
            </w:r>
          </w:p>
          <w:p w14:paraId="1AE2D922" w14:textId="6914C26C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o direito à alocação justa e transparente de autorizações e licenças</w:t>
            </w:r>
          </w:p>
          <w:p w14:paraId="0BB0B13E" w14:textId="5C739AC0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o direito a locais apropriados próximos do tráfego de clientes</w:t>
            </w:r>
          </w:p>
          <w:p w14:paraId="148C45DF" w14:textId="5A0498B5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em caso de realocação, fornecimento de locais alternativos adequados próximos ao tráfego de clientes</w:t>
            </w:r>
          </w:p>
          <w:p w14:paraId="64612987" w14:textId="7D63333D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direito a melhores serviços e infraestrutura (inclusive para comerciantes PCDs)</w:t>
            </w:r>
          </w:p>
          <w:p w14:paraId="7E831A5C" w14:textId="61B1A30B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oferta de centros de proteção para afastar as crianças do trabalho infantil</w:t>
            </w:r>
          </w:p>
          <w:p w14:paraId="06973CC0" w14:textId="76C8CECF" w:rsidR="00DA1180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acesso a provedores de serviços amigáveis</w:t>
            </w:r>
          </w:p>
          <w:p w14:paraId="07905598" w14:textId="10B2D808" w:rsidR="00EB5843" w:rsidRPr="00517D94" w:rsidRDefault="00DA1180" w:rsidP="00DA1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color w:val="1A1917"/>
                <w:sz w:val="28"/>
                <w:szCs w:val="28"/>
                <w:lang w:val="pt-BR"/>
              </w:rPr>
              <w:t>sistemas de tributação simplificados e regulamentos para comerciantes transfronteiriços informais</w:t>
            </w:r>
          </w:p>
          <w:p w14:paraId="47306B48" w14:textId="77777777" w:rsidR="00EB5843" w:rsidRPr="00517D94" w:rsidRDefault="00EB5843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</w:p>
          <w:p w14:paraId="27907270" w14:textId="352A5F10" w:rsidR="00EB5843" w:rsidRPr="00517D94" w:rsidRDefault="00DA1180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center"/>
              <w:rPr>
                <w:rFonts w:cs="Fo6S0"/>
                <w:b/>
                <w:color w:val="1F3864" w:themeColor="accent1" w:themeShade="80"/>
                <w:sz w:val="40"/>
                <w:szCs w:val="40"/>
                <w:lang w:val="pt-BR"/>
              </w:rPr>
            </w:pPr>
            <w:r w:rsidRPr="00517D94">
              <w:rPr>
                <w:rFonts w:cs="Fo6S0"/>
                <w:b/>
                <w:color w:val="1F3864" w:themeColor="accent1" w:themeShade="80"/>
                <w:sz w:val="40"/>
                <w:szCs w:val="40"/>
                <w:lang w:val="pt-BR"/>
              </w:rPr>
              <w:t>Nada para nós sem nós</w:t>
            </w:r>
            <w:r w:rsidR="00EB5843" w:rsidRPr="00517D94">
              <w:rPr>
                <w:rFonts w:cs="Fo6S0"/>
                <w:b/>
                <w:color w:val="1F3864" w:themeColor="accent1" w:themeShade="80"/>
                <w:sz w:val="40"/>
                <w:szCs w:val="40"/>
                <w:lang w:val="pt-BR"/>
              </w:rPr>
              <w:t>!</w:t>
            </w:r>
          </w:p>
          <w:p w14:paraId="6B82FEE3" w14:textId="77777777" w:rsidR="00EB5843" w:rsidRPr="00517D94" w:rsidRDefault="00EB5843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</w:p>
          <w:p w14:paraId="1B794041" w14:textId="77777777" w:rsidR="00EB5843" w:rsidRPr="00517D94" w:rsidRDefault="00EB5843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</w:p>
          <w:p w14:paraId="15A2C5C6" w14:textId="77777777" w:rsidR="00EB5843" w:rsidRPr="00517D94" w:rsidRDefault="00EB5843" w:rsidP="00EB58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1A1917"/>
                <w:sz w:val="28"/>
                <w:szCs w:val="28"/>
                <w:lang w:val="pt-BR"/>
              </w:rPr>
            </w:pPr>
            <w:r w:rsidRPr="00517D94">
              <w:rPr>
                <w:rFonts w:cs="Fo6S0"/>
                <w:b/>
                <w:noProof/>
                <w:color w:val="1A1917"/>
                <w:sz w:val="28"/>
                <w:szCs w:val="28"/>
                <w:lang w:val="pt-BR"/>
              </w:rPr>
              <w:drawing>
                <wp:inline distT="0" distB="0" distL="0" distR="0" wp14:anchorId="20B3B247" wp14:editId="28CB0EC2">
                  <wp:extent cx="4450080" cy="1447764"/>
                  <wp:effectExtent l="0" t="0" r="7620" b="635"/>
                  <wp:docPr id="40" name="Picture 40" descr="C:\Users\alaa.abboud\Desktop\WIEG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laa.abboud\Desktop\WIEG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403" cy="158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" w:type="dxa"/>
            <w:tcMar>
              <w:left w:w="0" w:type="dxa"/>
              <w:right w:w="0" w:type="dxa"/>
            </w:tcMar>
            <w:vAlign w:val="center"/>
          </w:tcPr>
          <w:p w14:paraId="2089ED56" w14:textId="77777777" w:rsidR="00EB5843" w:rsidRPr="00517D94" w:rsidRDefault="00EB5843" w:rsidP="00EB5843">
            <w:pPr>
              <w:spacing w:after="60"/>
              <w:rPr>
                <w:noProof/>
                <w:color w:val="262626" w:themeColor="text1" w:themeTint="D9"/>
                <w:sz w:val="2"/>
                <w:lang w:val="pt-BR"/>
              </w:rPr>
            </w:pPr>
          </w:p>
        </w:tc>
        <w:tc>
          <w:tcPr>
            <w:tcW w:w="4384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14:paraId="6662BCC1" w14:textId="1FFF25AB" w:rsidR="00EB5843" w:rsidRPr="00517D94" w:rsidRDefault="00DA1180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Corbel" w:hAnsi="Corbel" w:cs="Fo6S0"/>
                <w:b/>
                <w:color w:val="FFFFFF" w:themeColor="background1"/>
                <w:sz w:val="24"/>
                <w:szCs w:val="24"/>
                <w:u w:val="single"/>
                <w:lang w:val="pt-BR"/>
              </w:rPr>
            </w:pPr>
            <w:r w:rsidRPr="00517D94">
              <w:rPr>
                <w:rFonts w:ascii="Corbel" w:hAnsi="Corbel" w:cs="Fo6S0"/>
                <w:b/>
                <w:color w:val="FFFFFF" w:themeColor="background1"/>
                <w:sz w:val="24"/>
                <w:szCs w:val="24"/>
                <w:u w:val="single"/>
                <w:lang w:val="pt-BR"/>
              </w:rPr>
              <w:t>O que a formalização NÃO deve envolver</w:t>
            </w:r>
            <w:r w:rsidR="00EB5843" w:rsidRPr="00517D94">
              <w:rPr>
                <w:rFonts w:ascii="Corbel" w:hAnsi="Corbel" w:cs="Fo6S0"/>
                <w:b/>
                <w:color w:val="FFFFFF" w:themeColor="background1"/>
                <w:sz w:val="24"/>
                <w:szCs w:val="24"/>
                <w:u w:val="single"/>
                <w:lang w:val="pt-BR"/>
              </w:rPr>
              <w:t>:</w:t>
            </w:r>
          </w:p>
          <w:p w14:paraId="28B604AB" w14:textId="77777777" w:rsidR="00281861" w:rsidRPr="00517D94" w:rsidRDefault="00281861" w:rsidP="002818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- registros e requisitos fiscais caros sem os direitos, benefícios ou proteções que deveriam acompanhar a formalização;</w:t>
            </w:r>
          </w:p>
          <w:p w14:paraId="3B2F5552" w14:textId="5F5FB157" w:rsidR="00EB5843" w:rsidRPr="00517D94" w:rsidRDefault="00281861" w:rsidP="0028186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 xml:space="preserve">- tributação ou registro de empresas informais sem benefícios, </w:t>
            </w: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como</w:t>
            </w:r>
            <w:r w:rsidR="00EB5843"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:</w:t>
            </w:r>
          </w:p>
          <w:p w14:paraId="794CD498" w14:textId="77777777" w:rsidR="00281861" w:rsidRPr="00517D94" w:rsidRDefault="00281861" w:rsidP="00281861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um sistema de tributação horizontal no qual o trabalhador por conta própria paga os mesmos impostos que as grandes empresas;</w:t>
            </w:r>
          </w:p>
          <w:p w14:paraId="7FEE0DFD" w14:textId="21B7F8C9" w:rsidR="00EB5843" w:rsidRPr="00517D94" w:rsidRDefault="00281861" w:rsidP="00281861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 xml:space="preserve">uma obrigação de registro em diferentes secretarias </w:t>
            </w: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 xml:space="preserve">por meio de </w:t>
            </w: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procedimentos complicados</w:t>
            </w:r>
            <w:r w:rsidR="00EB5843"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;</w:t>
            </w:r>
          </w:p>
          <w:p w14:paraId="6A9BA5F5" w14:textId="52F79059" w:rsidR="00EB5843" w:rsidRPr="00517D94" w:rsidRDefault="00281861" w:rsidP="00EB58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decisões unilaterais tomadas por autoridades, especialmente para impor:</w:t>
            </w:r>
          </w:p>
          <w:p w14:paraId="5518DCDA" w14:textId="77777777" w:rsidR="00517D94" w:rsidRPr="00517D94" w:rsidRDefault="00517D94" w:rsidP="00517D9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exigências educacionais irreais para trabalhadores informais;</w:t>
            </w:r>
          </w:p>
          <w:p w14:paraId="35DD6978" w14:textId="77777777" w:rsidR="00517D94" w:rsidRPr="00517D94" w:rsidRDefault="00517D94" w:rsidP="00517D9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exigências legais irreais para trabalhadores informais;</w:t>
            </w:r>
          </w:p>
          <w:p w14:paraId="0A23E502" w14:textId="7E69942C" w:rsidR="00517D94" w:rsidRPr="00517D94" w:rsidRDefault="00517D94" w:rsidP="00517D9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pré-condições difíceis de cumprir;</w:t>
            </w:r>
          </w:p>
          <w:p w14:paraId="71516C98" w14:textId="1E152AFC" w:rsidR="00EB5843" w:rsidRPr="00517D94" w:rsidRDefault="00517D94" w:rsidP="00517D94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orbel" w:hAnsi="Corbel" w:cs="Fo6S0"/>
                <w:i/>
                <w:color w:val="FFFFFF" w:themeColor="background1"/>
                <w:lang w:val="pt-BR"/>
              </w:rPr>
            </w:pPr>
            <w:r w:rsidRPr="00517D94">
              <w:rPr>
                <w:rFonts w:ascii="Corbel" w:hAnsi="Corbel" w:cs="Fo6S0"/>
                <w:i/>
                <w:color w:val="FFFFFF" w:themeColor="background1"/>
                <w:lang w:val="pt-BR"/>
              </w:rPr>
              <w:t>exigências caras e inacessíveis para a maioria dos trabalhadores informais</w:t>
            </w:r>
          </w:p>
          <w:p w14:paraId="46E1AFC1" w14:textId="1161E849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formalização que criminaliza quem não consegue atingir os níveis determinados;</w:t>
            </w:r>
          </w:p>
          <w:p w14:paraId="5B205714" w14:textId="28FCF881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discriminação contra mulheres, estrangeiros (migrantes), pessoas com deficiência etc.;</w:t>
            </w:r>
          </w:p>
          <w:p w14:paraId="02B97D8D" w14:textId="7E4A22F7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esquemas fiscais e tributários que privatizam os bens públicos;</w:t>
            </w:r>
          </w:p>
          <w:p w14:paraId="21123130" w14:textId="7D2C5670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registro como empresário individual, impedindo acesso aos direitos coletivos dos trabalhadores;</w:t>
            </w:r>
          </w:p>
          <w:p w14:paraId="51F5C34C" w14:textId="0BD64369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formalização que cria um sistema de “loja fechada” com uma nova "elite" colaborando com as autoridades para impedir a entrada de “pessoas de fora” reivindicando/defendendo seus direitos;</w:t>
            </w:r>
          </w:p>
          <w:p w14:paraId="5C5228AD" w14:textId="35E4BEC1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geração de novas exclusões;</w:t>
            </w:r>
          </w:p>
          <w:p w14:paraId="56EF6E88" w14:textId="2376C104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reconhecimento preferencial de sindicatos amarelos na economia informal;</w:t>
            </w:r>
          </w:p>
          <w:p w14:paraId="3A7030A6" w14:textId="7125292D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trabalho infantil;</w:t>
            </w:r>
          </w:p>
          <w:p w14:paraId="7D071097" w14:textId="33666721" w:rsidR="00517D94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promoção de pseudo</w:t>
            </w:r>
            <w:r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-</w:t>
            </w: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cooperativas;</w:t>
            </w:r>
          </w:p>
          <w:p w14:paraId="6E693264" w14:textId="7F6C19C2" w:rsidR="00EB5843" w:rsidRPr="00517D94" w:rsidRDefault="00517D94" w:rsidP="00517D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</w:pPr>
            <w:r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lidar com acusações de trabalhadores migrantes, levando à discriminação racial legalizada</w:t>
            </w:r>
            <w:r w:rsidR="00EB5843" w:rsidRPr="00517D94">
              <w:rPr>
                <w:rFonts w:ascii="Corbel" w:hAnsi="Corbel" w:cs="Fo6S0"/>
                <w:color w:val="FFFFFF" w:themeColor="background1"/>
                <w:sz w:val="24"/>
                <w:szCs w:val="24"/>
                <w:lang w:val="pt-BR"/>
              </w:rPr>
              <w:t>.</w:t>
            </w:r>
          </w:p>
          <w:p w14:paraId="54BF1931" w14:textId="77777777" w:rsidR="00EB5843" w:rsidRPr="00517D94" w:rsidRDefault="00EB5843" w:rsidP="00EB5843">
            <w:pPr>
              <w:autoSpaceDE w:val="0"/>
              <w:autoSpaceDN w:val="0"/>
              <w:adjustRightInd w:val="0"/>
              <w:spacing w:after="180"/>
              <w:jc w:val="both"/>
              <w:rPr>
                <w:rFonts w:cs="Fo6S0"/>
                <w:b/>
                <w:color w:val="FFFFFF" w:themeColor="background1"/>
                <w:sz w:val="28"/>
                <w:szCs w:val="28"/>
                <w:lang w:val="pt-BR"/>
              </w:rPr>
            </w:pPr>
          </w:p>
        </w:tc>
      </w:tr>
    </w:tbl>
    <w:p w14:paraId="39E174FD" w14:textId="77777777" w:rsidR="00236ABB" w:rsidRPr="00517D94" w:rsidRDefault="00236ABB">
      <w:pPr>
        <w:rPr>
          <w:lang w:val="pt-BR"/>
        </w:rPr>
      </w:pPr>
    </w:p>
    <w:sectPr w:rsidR="00236ABB" w:rsidRPr="00517D94" w:rsidSect="00EB5843">
      <w:pgSz w:w="11906" w:h="16838"/>
      <w:pgMar w:top="630" w:right="1106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6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A30"/>
    <w:multiLevelType w:val="hybridMultilevel"/>
    <w:tmpl w:val="21422E62"/>
    <w:lvl w:ilvl="0" w:tplc="5C02150E">
      <w:numFmt w:val="bullet"/>
      <w:lvlText w:val="-"/>
      <w:lvlJc w:val="left"/>
      <w:pPr>
        <w:ind w:left="720" w:hanging="360"/>
      </w:pPr>
      <w:rPr>
        <w:rFonts w:ascii="Calibri" w:eastAsiaTheme="minorHAnsi" w:hAnsi="Calibri" w:cs="Fo6S0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130"/>
    <w:multiLevelType w:val="hybridMultilevel"/>
    <w:tmpl w:val="916AF9AE"/>
    <w:lvl w:ilvl="0" w:tplc="4E102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052"/>
    <w:multiLevelType w:val="hybridMultilevel"/>
    <w:tmpl w:val="392C943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69A7"/>
    <w:multiLevelType w:val="hybridMultilevel"/>
    <w:tmpl w:val="39F6DB10"/>
    <w:lvl w:ilvl="0" w:tplc="5C02150E">
      <w:numFmt w:val="bullet"/>
      <w:lvlText w:val="-"/>
      <w:lvlJc w:val="left"/>
      <w:pPr>
        <w:ind w:left="720" w:hanging="360"/>
      </w:pPr>
      <w:rPr>
        <w:rFonts w:ascii="Calibri" w:eastAsiaTheme="minorHAnsi" w:hAnsi="Calibri" w:cs="Fo6S0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9938">
    <w:abstractNumId w:val="0"/>
  </w:num>
  <w:num w:numId="2" w16cid:durableId="394819297">
    <w:abstractNumId w:val="2"/>
  </w:num>
  <w:num w:numId="3" w16cid:durableId="663818344">
    <w:abstractNumId w:val="1"/>
  </w:num>
  <w:num w:numId="4" w16cid:durableId="137927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3"/>
    <w:rsid w:val="00236ABB"/>
    <w:rsid w:val="00281861"/>
    <w:rsid w:val="00361C7E"/>
    <w:rsid w:val="00362A9E"/>
    <w:rsid w:val="004E1A79"/>
    <w:rsid w:val="00517D94"/>
    <w:rsid w:val="00806D99"/>
    <w:rsid w:val="008342D8"/>
    <w:rsid w:val="00C0574E"/>
    <w:rsid w:val="00C50D2D"/>
    <w:rsid w:val="00D56A9C"/>
    <w:rsid w:val="00D76D91"/>
    <w:rsid w:val="00DA1180"/>
    <w:rsid w:val="00DE266C"/>
    <w:rsid w:val="00E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2C58"/>
  <w15:chartTrackingRefBased/>
  <w15:docId w15:val="{94DF5B4A-DEA6-452E-8589-64B64A1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5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5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">
    <w:name w:val="Emphasis"/>
    <w:basedOn w:val="Fontepargpadro"/>
    <w:qFormat/>
    <w:rsid w:val="00EB5843"/>
    <w:rPr>
      <w:rFonts w:asciiTheme="majorHAnsi" w:hAnsiTheme="majorHAnsi"/>
      <w:i w:val="0"/>
      <w:iCs/>
      <w:color w:val="4472C4" w:themeColor="accent1"/>
      <w:sz w:val="16"/>
    </w:rPr>
  </w:style>
  <w:style w:type="paragraph" w:customStyle="1" w:styleId="Name">
    <w:name w:val="Name"/>
    <w:basedOn w:val="Normal"/>
    <w:qFormat/>
    <w:rsid w:val="00EB5843"/>
    <w:pPr>
      <w:spacing w:after="180" w:line="240" w:lineRule="auto"/>
    </w:pPr>
    <w:rPr>
      <w:color w:val="404040" w:themeColor="text1" w:themeTint="BF"/>
      <w:lang w:val="en-US"/>
    </w:rPr>
  </w:style>
  <w:style w:type="table" w:styleId="Tabelacomgrade">
    <w:name w:val="Table Grid"/>
    <w:basedOn w:val="Tabelanormal"/>
    <w:uiPriority w:val="59"/>
    <w:rsid w:val="00EB58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1446E2508431088148808EFAD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4EBC-B225-4187-A761-83C306DD48E4}"/>
      </w:docPartPr>
      <w:docPartBody>
        <w:p w:rsidR="00CA6D76" w:rsidRDefault="002B0B4D" w:rsidP="002B0B4D">
          <w:pPr>
            <w:pStyle w:val="0BD1446E2508431088148808EFAD245A"/>
          </w:pPr>
          <w:r>
            <w:t>Issue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6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4D"/>
    <w:rsid w:val="00197BBD"/>
    <w:rsid w:val="002B0B4D"/>
    <w:rsid w:val="00A44E96"/>
    <w:rsid w:val="00C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D1446E2508431088148808EFAD245A">
    <w:name w:val="0BD1446E2508431088148808EFAD245A"/>
    <w:rsid w:val="002B0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626</Words>
  <Characters>3954</Characters>
  <Application>Microsoft Office Word</Application>
  <DocSecurity>0</DocSecurity>
  <Lines>164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Abboud</dc:creator>
  <cp:keywords/>
  <dc:description/>
  <cp:lastModifiedBy>Marcia Macedo</cp:lastModifiedBy>
  <cp:revision>14</cp:revision>
  <cp:lastPrinted>2017-11-03T11:48:00Z</cp:lastPrinted>
  <dcterms:created xsi:type="dcterms:W3CDTF">2023-04-24T17:11:00Z</dcterms:created>
  <dcterms:modified xsi:type="dcterms:W3CDTF">2023-04-24T17:49:00Z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0489aee9337c7a7ef722733f5d8016c5a93ea402e17d635e39a98428f63af217</vt:lpwstr>
  </property>
</Properties>
</file>